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Violations</w:t>
      </w:r>
    </w:p>
    <w:p>
      <w:pPr>
        <w:jc w:val="both"/>
        <w:spacing w:before="100" w:after="100"/>
        <w:ind w:start="360"/>
        <w:ind w:firstLine="360"/>
      </w:pPr>
      <w:r>
        <w:rPr/>
      </w:r>
      <w:r>
        <w:rPr/>
      </w:r>
      <w:r>
        <w:t xml:space="preserve">Every officer of a political subdivision of the State with administrative responsibilities under this chapter who intentionally violates any of the provisions of this chapter commits a civil violation for which a forfeiture of $20 may be adjudged.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§830.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§830.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