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Appeal on assessment</w:t>
      </w:r>
    </w:p>
    <w:p>
      <w:pPr>
        <w:jc w:val="both"/>
        <w:spacing w:before="100" w:after="100"/>
        <w:ind w:start="360"/>
        <w:ind w:firstLine="360"/>
      </w:pPr>
      <w:r>
        <w:rPr/>
      </w:r>
      <w:r>
        <w:rPr/>
      </w:r>
      <w:r>
        <w:t xml:space="preserve">Any person aggrieved by the decision of said trustees as it relates to any assessment for sewer construction under </w:t>
      </w:r>
      <w:r>
        <w:t>section 1203</w:t>
      </w:r>
      <w:r>
        <w:t xml:space="preserve"> shall have the same rights of appeal as are provided in the case of laying out of town ways.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Appeal on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Appeal on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§1204. APPEAL ON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