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Fees</w:t>
      </w:r>
    </w:p>
    <w:p>
      <w:pPr>
        <w:jc w:val="both"/>
        <w:spacing w:before="100" w:after="100"/>
        <w:ind w:start="360"/>
        <w:ind w:firstLine="360"/>
      </w:pPr>
      <w:r>
        <w:rPr>
          <w:b/>
        </w:rPr>
        <w:t>1</w:t>
        <w:t xml:space="preserve">.  </w:t>
      </w:r>
      <w:r>
        <w:rPr>
          <w:b/>
        </w:rPr>
        <w:t xml:space="preserve">Fees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§5 (RP).]</w:t>
      </w:r>
    </w:p>
    <w:p>
      <w:pPr>
        <w:jc w:val="both"/>
        <w:spacing w:before="100" w:after="0"/>
        <w:ind w:start="360"/>
        <w:ind w:firstLine="360"/>
      </w:pPr>
      <w:r>
        <w:rPr>
          <w:b/>
        </w:rPr>
        <w:t>1-A</w:t>
        <w:t xml:space="preserve">.  </w:t>
      </w:r>
      <w:r>
        <w:rPr>
          <w:b/>
        </w:rPr>
        <w:t xml:space="preserve">License and certification fees.</w:t>
        <w:t xml:space="preserve"> </w:t>
      </w:r>
      <w:r>
        <w:t xml:space="preserve"> </w:t>
      </w:r>
      <w:r>
        <w:t xml:space="preserve">Fees for each license and certification category are established under </w:t>
      </w:r>
      <w:r>
        <w:t>section 352</w:t>
      </w:r>
      <w:r>
        <w:t xml:space="preserve">.  The fees must be paid upon application and annually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§6 (NEW).]</w:t>
      </w:r>
    </w:p>
    <w:p>
      <w:pPr>
        <w:jc w:val="both"/>
        <w:spacing w:before="100" w:after="100"/>
        <w:ind w:start="360"/>
        <w:ind w:firstLine="360"/>
      </w:pPr>
      <w:r>
        <w:rPr>
          <w:b/>
        </w:rPr>
        <w:t>2</w:t>
        <w:t xml:space="preserve">.  </w:t>
      </w:r>
      <w:r>
        <w:rPr>
          <w:b/>
        </w:rPr>
        <w:t xml:space="preserve">Notification fees.</w:t>
        <w:t xml:space="preserve"> </w:t>
      </w:r>
      <w:r>
        <w:t xml:space="preserve"> </w:t>
      </w:r>
      <w:r>
        <w:t xml:space="preserve">Notification of asbestos abatement activities pursuant to </w:t>
      </w:r>
      <w:r>
        <w:t>section 1273, subsection 2</w:t>
      </w:r>
      <w:r>
        <w:t xml:space="preserve"> must be accompanied by the notification fee established under </w:t>
      </w:r>
      <w:r>
        <w:t>section 352</w:t>
      </w:r>
      <w:r>
        <w:t xml:space="preserve"> unless the activity occurs in single-unit residential buildings.  Notification fees are based on the total linear or square feet of asbestos-containing material involved in the activity.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374,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630, §§8,9 (AMD). PL 1991, c. 473, §18 (AMD). PL 1993, c. 355, §§43,44 (AMD). PL 2009, c. 374,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