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1317-A</w:t>
        <w:t xml:space="preserve">.  </w:t>
      </w:r>
      <w:r>
        <w:rPr>
          <w:b/>
        </w:rPr>
        <w:t xml:space="preserve">Discharge prohibited</w:t>
      </w:r>
    </w:p>
    <w:p>
      <w:pPr>
        <w:jc w:val="both"/>
        <w:spacing w:before="100" w:after="100"/>
        <w:ind w:start="360"/>
        <w:ind w:firstLine="360"/>
      </w:pPr>
      <w:r>
        <w:rPr/>
      </w:r>
      <w:r>
        <w:rPr/>
      </w:r>
      <w:r>
        <w:t xml:space="preserve">The discharge of hazardous matter into or upon any waters of the State, or into or upon any land within the State's territorial boundaries or into the ambient air is prohibited unless licensed or authorized under state or federal law. For purposes of this section, the discharge of gaseous hazardous matter into the ambient air includes discharges within buildings or structures from sources that are not encapsulated within secondary containment.  The discharge must be reported and removed as provided under </w:t>
      </w:r>
      <w:r>
        <w:t>section 1318‑B, 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330,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 PL 1991, c. 499, §22 (AMD). PL 2005, c. 330,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§1317-A. Discharge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§1317-A. Discharge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§1317-A. DISCHARGE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