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1683</w:t>
        <w:t xml:space="preserve">.  </w:t>
      </w:r>
      <w:r>
        <w:rPr>
          <w:b/>
        </w:rPr>
        <w:t xml:space="preserve">Statute not admissible in evidence</w:t>
      </w:r>
    </w:p>
    <w:p>
      <w:pPr>
        <w:jc w:val="both"/>
        <w:spacing w:before="100" w:after="100"/>
        <w:ind w:start="360"/>
        <w:ind w:firstLine="360"/>
      </w:pPr>
      <w:r>
        <w:rPr/>
      </w:r>
      <w:r>
        <w:rPr/>
      </w:r>
      <w:r>
        <w:t xml:space="preserve">This chapter may not be admitted in evidence or offered as an exhibit for any purpose in any civil trial against any wholesaler, retailer or installer of arsenic-treated wood.  This section does not apply in cases of enforcement actions brought by the State.</w:t>
      </w:r>
      <w:r>
        <w:t xml:space="preserve">  </w:t>
      </w:r>
      <w:r xmlns:wp="http://schemas.openxmlformats.org/drawingml/2010/wordprocessingDrawing" xmlns:w15="http://schemas.microsoft.com/office/word/2012/wordml">
        <w:rPr>
          <w:rFonts w:ascii="Arial" w:hAnsi="Arial" w:cs="Arial"/>
          <w:sz w:val="22"/>
          <w:szCs w:val="22"/>
        </w:rPr>
        <w:t xml:space="preserve">[PL 2003, c. 457,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§1683. Statute not admissible in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§1683. Statute not admissible in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§1683. STATUTE NOT ADMISSIBLE IN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