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1706</w:t>
        <w:t xml:space="preserve">.  </w:t>
      </w:r>
      <w:r>
        <w:rPr>
          <w:b/>
        </w:rPr>
        <w:t xml:space="preserve">Relationship to other law</w:t>
      </w:r>
    </w:p>
    <w:p>
      <w:pPr>
        <w:jc w:val="both"/>
        <w:spacing w:before="100" w:after="100"/>
        <w:ind w:start="360"/>
        <w:ind w:firstLine="360"/>
      </w:pPr>
      <w:r>
        <w:rPr/>
      </w:r>
      <w:r>
        <w:rPr/>
      </w:r>
      <w:r>
        <w:t xml:space="preserve">This chapter provides an additional and alternative method for carrying out the purposes of this chapter and is supplemental and additional to powers conferred by other laws, including the provisions of </w:t>
      </w:r>
      <w:r>
        <w:t>chapter 13</w:t>
      </w:r>
      <w:r>
        <w:t xml:space="preserve">, pertaining to solid waste, and is not in derogation of any powers now existing. The exercise of authority under this chapter is subject to any restriction imposed under </w:t>
      </w:r>
      <w:r>
        <w:t>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585, Pt. E,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PL 1989, c. 585, §E36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§1706. Relationship to other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§1706. Relationship to other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§1706. RELATIONSHIP TO OTHER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