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3112</w:t>
        <w:t xml:space="preserve">.  </w:t>
      </w:r>
      <w:r>
        <w:rPr>
          <w:b/>
        </w:rPr>
        <w:t xml:space="preserve">Exception for beverage containers used on international flights</w:t>
      </w:r>
    </w:p>
    <w:p>
      <w:pPr>
        <w:jc w:val="both"/>
        <w:spacing w:before="100" w:after="100"/>
        <w:ind w:start="360"/>
        <w:ind w:firstLine="360"/>
      </w:pPr>
      <w:r>
        <w:rPr/>
      </w:r>
      <w:r>
        <w:rPr/>
      </w:r>
      <w:r>
        <w:t xml:space="preserve">This chapter does not apply to any beverage container sold to an airline and containing a beverage intended for consumption on an aircraft flight in interstate or foreign commerce.</w:t>
      </w:r>
      <w:r>
        <w:t xml:space="preserve">  </w:t>
      </w:r>
      <w:r xmlns:wp="http://schemas.openxmlformats.org/drawingml/2010/wordprocessingDrawing" xmlns:w15="http://schemas.microsoft.com/office/word/2012/wordml">
        <w:rPr>
          <w:rFonts w:ascii="Arial" w:hAnsi="Arial" w:cs="Arial"/>
          <w:sz w:val="22"/>
          <w:szCs w:val="22"/>
        </w:rPr>
        <w:t xml:space="preserve">[PL 2015, c. 166,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§3112. Exception for beverage containers used on international flights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§3112. Exception for beverage containers used on international flights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§3112. EXCEPTION FOR BEVERAGE CONTAINERS USED ON INTERNATIONAL FLIGHTS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