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w:t>
        <w:t xml:space="preserve">.  </w:t>
      </w:r>
      <w:r>
        <w:rPr>
          <w:b/>
        </w:rPr>
        <w:t xml:space="preserve">Prohibition on nonwater-dependent floating structures</w:t>
      </w:r>
    </w:p>
    <w:p>
      <w:pPr>
        <w:jc w:val="both"/>
        <w:spacing w:before="100" w:after="100"/>
        <w:ind w:start="360"/>
        <w:ind w:firstLine="360"/>
      </w:pPr>
      <w:r>
        <w:rPr/>
      </w:r>
      <w:r>
        <w:rPr/>
      </w:r>
      <w:r>
        <w:t xml:space="preserve">Except as otherwise provided in this chapter, a person may not place or use a nonwater-dependent floating structure in, on or over internal waters.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 Prohibition on nonwater-dependent floating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 Prohibition on nonwater-dependent floating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§3302. PROHIBITION ON NONWATER-DEPENDENT FLOATING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