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341-B</w:t>
        <w:t xml:space="preserve">.  </w:t>
      </w:r>
      <w:r>
        <w:rPr>
          <w:b/>
        </w:rPr>
        <w:t xml:space="preserve">Rules</w:t>
      </w:r>
    </w:p>
    <w:p>
      <w:pPr>
        <w:jc w:val="both"/>
        <w:spacing w:before="100" w:after="100"/>
        <w:ind w:start="360"/>
        <w:ind w:firstLine="360"/>
      </w:pPr>
      <w:r>
        <w:rPr/>
      </w:r>
      <w:r>
        <w:rPr/>
      </w:r>
      <w:r>
        <w:t xml:space="preserve">The purpose of the Board of Environmental Protection is to provide informed, independent and timely decisions on the interpretation, administration and enforcement of the laws relating to environmental protection and to provide for credible, fair and responsible public participation in department decisions.  The board shall fulfill its purpose through rulemaking, decisions on selected permit applications, decisions on appeals of the commissioner's licensing actions, review of the commissioner's enforcement actions and recommending changes in the law to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315,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2011, c. 304, Pt. H, §1 (AMD). PL 2019, c. 315,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§341-B.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§341-B.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§341-B.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