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§404. GROUND WATER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