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410-J</w:t>
        <w:t xml:space="preserve">.  </w:t>
      </w:r>
      <w:r>
        <w:rPr>
          <w:b/>
        </w:rPr>
        <w:t xml:space="preserve">Program implementation</w:t>
      </w:r>
    </w:p>
    <w:p>
      <w:pPr>
        <w:jc w:val="both"/>
        <w:spacing w:before="100" w:after="0"/>
        <w:ind w:start="360"/>
        <w:ind w:firstLine="360"/>
      </w:pPr>
      <w:r>
        <w:rPr>
          <w:b/>
        </w:rPr>
        <w:t>1</w:t>
        <w:t xml:space="preserve">.  </w:t>
      </w:r>
      <w:r>
        <w:rPr>
          <w:b/>
        </w:rPr>
        <w:t xml:space="preserve">Agriculture.</w:t>
        <w:t xml:space="preserve"> </w:t>
      </w:r>
      <w:r>
        <w:t xml:space="preserve"> </w:t>
      </w:r>
      <w:r>
        <w:t xml:space="preserve">The Department of Agriculture, Conservation and Forestry shall develop best management practice guidelines to reduce and prevent nonpoint source pollution from agricultural activities.  The Department of Agriculture, Conservation and Forestry may recommend to farmers the use of best management practice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(REV).]</w:t>
      </w:r>
    </w:p>
    <w:p>
      <w:pPr>
        <w:jc w:val="both"/>
        <w:spacing w:before="100" w:after="0"/>
        <w:ind w:start="360"/>
        <w:ind w:firstLine="360"/>
      </w:pPr>
      <w:r>
        <w:rPr>
          <w:b/>
        </w:rPr>
        <w:t>2</w:t>
        <w:t xml:space="preserve">.  </w:t>
      </w:r>
      <w:r>
        <w:rPr>
          <w:b/>
        </w:rPr>
        <w:t xml:space="preserve">Forestry.</w:t>
        <w:t xml:space="preserve"> </w:t>
      </w:r>
      <w:r>
        <w:t xml:space="preserve"> </w:t>
      </w:r>
      <w:r>
        <w:t xml:space="preserve">The Department of Agriculture, Conservation and Forestry, Bureau of Forestry in cooperation with the commissioner shall develop best management practice guidelines to reduce and prevent nonpoint source pollution from wood harvesting and forest management activities.  The Bureau of Forestry may publish best management practice guidelines for use by landowners and wood harvesters.  Landowners and wood harvesters must be notified of these guidelines and assisted in their efforts to implement the guidelines in accordance with the Bureau of Forestry advisory programs under </w:t>
      </w:r>
      <w:r>
        <w:t>Title 12, sections 8611</w:t>
      </w:r>
      <w:r>
        <w:t xml:space="preserve"> and </w:t>
      </w:r>
      <w:r>
        <w:t>8612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2011, c. 657, Pt. W, §§5, 7 (REV); PL 2013, c. 405, Pt. A, §23 (REV).]</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Transportation in cooperation with the commissioner shall develop best management practice guidelines to reduce and prevent nonpoint source pollution from transportation-related activities.  The Department of Transportation shall encourage all state or federally funded projects to use the best management practice guidelines.  The Department of Transportation may provide technical assistance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4</w:t>
        <w:t xml:space="preserve">.  </w:t>
      </w:r>
      <w:r>
        <w:rPr>
          <w:b/>
        </w:rPr>
        <w:t xml:space="preserve">Development.</w:t>
        <w:t xml:space="preserve"> </w:t>
      </w:r>
      <w:r>
        <w:t xml:space="preserve"> </w:t>
      </w:r>
      <w:r>
        <w:t xml:space="preserve">The commissioner shall develop best management practice guidelines to reduce and prevent nonpoint source pollution from development-related activities.  State agencies shall follow these guidelines in construction or remodeling activities for state buildings and other capital improvements.  The commissioner shall provide guidance and technical assistance to the Office of Community Development and municipalities to support implementation through growth management programs authorized by the growth management laws, </w:t>
      </w:r>
      <w:r>
        <w:t>Title 30‑A, chapter 187, subchapter II</w:t>
      </w:r>
      <w:r>
        <w:t xml:space="preserve"> and municipal subdivision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§18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§410-J. Program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§410-J. Program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§410-J. PROGRAM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