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Minors and persons with qualified interests</w:t>
      </w:r>
    </w:p>
    <w:p>
      <w:pPr>
        <w:jc w:val="both"/>
        <w:spacing w:before="100" w:after="100"/>
        <w:ind w:start="360"/>
        <w:ind w:firstLine="360"/>
      </w:pPr>
      <w:r>
        <w:rPr/>
      </w:r>
      <w:r>
        <w:rPr/>
      </w:r>
      <w:r>
        <w:t xml:space="preserve">Where any part of such mill or dam at the time of meeting and notice is owned by minors, tenants by curtesy, in tail, for life or years, or by mortgagor or mortgagee, the guardians of such minors, such tenant, mortgagor or mortgagee shall be deemed, for the purposes of </w:t>
      </w:r>
      <w:r>
        <w:t>sections 851</w:t>
      </w:r>
      <w:r>
        <w:t xml:space="preserve"> to </w:t>
      </w:r>
      <w:r>
        <w:t>892</w:t>
      </w:r>
      <w:r>
        <w:t xml:space="preserve">, the proprietors thereof, and shall be notified, vote and contribute accordingly. All advances so made by them, if not paid, may be recovered in a civil action, with interest.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Minors and persons with qualified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Minors and persons with qualified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§854. MINORS AND PERSONS WITH QUALIFIED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