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Impartial medical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Impartial medical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§611. IMPARTIAL MEDICAL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