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Other expenses of the court</w:t>
      </w:r>
    </w:p>
    <w:p>
      <w:pPr>
        <w:jc w:val="both"/>
        <w:spacing w:before="100" w:after="100"/>
        <w:ind w:start="360"/>
        <w:ind w:firstLine="360"/>
      </w:pPr>
      <w:r>
        <w:rPr/>
      </w:r>
      <w:r>
        <w:rPr/>
      </w:r>
      <w:r>
        <w:t xml:space="preserve">Within the limits of the funds and appropriations available to the Superior and Supreme Judicial Courts, the Chief Justice of the Supreme Judicial Court or the Chief Justice's designee may authorize the expenditure of funds for such other expenses and capital improvements as are reasonably necessary for the efficient operation of the Superior and Supreme Judicial Courts.</w:t>
      </w:r>
      <w:r>
        <w:t xml:space="preserve">  </w:t>
      </w:r>
      <w:r xmlns:wp="http://schemas.openxmlformats.org/drawingml/2010/wordprocessingDrawing" xmlns:w15="http://schemas.microsoft.com/office/word/2012/wordml">
        <w:rPr>
          <w:rFonts w:ascii="Arial" w:hAnsi="Arial" w:cs="Arial"/>
          <w:sz w:val="22"/>
          <w:szCs w:val="22"/>
        </w:rPr>
        <w:t xml:space="preserve">[PL 2019, c. 475,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1975, c. 735, §5 (AMD). PL 2019, c. 475,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 Other expenses of the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Other expenses of the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§117. OTHER EXPENSES OF THE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