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Court appointed special advocates</w:t>
      </w:r>
    </w:p>
    <w:p>
      <w:pPr>
        <w:jc w:val="both"/>
        <w:spacing w:before="100" w:after="100"/>
        <w:ind w:start="360"/>
        <w:ind w:firstLine="360"/>
      </w:pPr>
      <w:r>
        <w:rPr/>
      </w:r>
      <w:r>
        <w:rPr/>
      </w:r>
      <w:r>
        <w:t xml:space="preserve">The Director of the Court Appointed Special Advocate Program shall recruit the services of qualified persons to serve as volunteer court appointed special advocates.  The volunteer court appointed special advocates are considered employees of the State only for the purposes of the Maine Tort Claims Act and are not entitled to receive compensation, but are reimbursed for their actual, necessary and reasonable expenses incurred in the performance of their duties, consistent with policies established by the Administrative Office of the Courts.</w:t>
      </w:r>
      <w:r>
        <w:t xml:space="preserve">  </w:t>
      </w:r>
      <w:r xmlns:wp="http://schemas.openxmlformats.org/drawingml/2010/wordprocessingDrawing" xmlns:w15="http://schemas.microsoft.com/office/word/2012/wordml">
        <w:rPr>
          <w:rFonts w:ascii="Arial" w:hAnsi="Arial" w:cs="Arial"/>
          <w:sz w:val="22"/>
          <w:szCs w:val="22"/>
        </w:rPr>
        <w:t xml:space="preserve">[PL 2001, c. 253,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2001, c. 253,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§1503. Court appointed special advocates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Court appointed special advocates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§1503. COURT APPOINTED SPECIAL ADVOCATES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