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Appointment of guardian ad litem in child protection cases under Title 22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§1556. APPOINTMENT OF GUARDIAN AD LITEM IN CHILD PROTECTION CASES UNDER TITLE 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