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1610-T</w:t>
        <w:t xml:space="preserve">.  </w:t>
      </w:r>
      <w:r>
        <w:rPr>
          <w:b/>
        </w:rPr>
        <w:t xml:space="preserve">Additional securities; legislative branch</w:t>
      </w:r>
    </w:p>
    <w:p>
      <w:pPr>
        <w:jc w:val="both"/>
        <w:spacing w:before="100" w:after="100"/>
        <w:ind w:start="360"/>
      </w:pPr>
      <w:r>
        <w:rPr>
          <w:b/>
        </w:rPr>
        <w:t>(REALLOCATED FROM TITLE 4, SECTION 1610-R)</w:t>
      </w:r>
    </w:p>
    <w:p>
      <w:pPr>
        <w:jc w:val="both"/>
        <w:spacing w:before="100" w:after="100"/>
        <w:ind w:start="360"/>
        <w:ind w:firstLine="360"/>
      </w:pPr>
      <w:r>
        <w:rPr/>
      </w:r>
      <w:r>
        <w:rPr/>
      </w:r>
      <w:r>
        <w:t xml:space="preserve">Notwithstanding any limitation on the amount of securities that may be issued pursuant to </w:t>
      </w:r>
      <w:r>
        <w:t>section 1606, subsection 2</w:t>
      </w:r>
      <w:r>
        <w:t xml:space="preserve">, the authority may issue additional securities in an amount not to exceed $8,000,000 outstanding at any one time for paying the costs associated with planning, purchasing, customizing and implementing an integrated electronic legislative management system to replace the existing system for the Senate and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2025, c. 454, §1 (NEW); RR 2025, c. 1, Pt. A, §5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454, §1 (NEW). RR 2025, c. 1, Pt. A, §5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§1610-T. Additional securities; legislative branch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§1610-T. Additional securities; legislative branch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§1610-T. ADDITIONAL SECURITIES; LEGISLATIVE BRANCH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