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1802-A</w:t>
        <w:t xml:space="preserve">.  </w:t>
      </w:r>
      <w:r>
        <w:rPr>
          <w:b/>
        </w:rPr>
        <w:t xml:space="preserve">Employed counsel and public defender</w:t>
      </w:r>
    </w:p>
    <w:p>
      <w:pPr>
        <w:jc w:val="both"/>
        <w:spacing w:before="100" w:after="100"/>
        <w:ind w:start="360"/>
        <w:ind w:firstLine="360"/>
      </w:pPr>
      <w:r>
        <w:rPr/>
      </w:r>
      <w:r>
        <w:rPr/>
      </w:r>
      <w:r>
        <w:t xml:space="preserve">An attorney may be employed by the commission both as "employed counsel" and as a "public defender."</w:t>
      </w:r>
      <w:r>
        <w:t xml:space="preserve">  </w:t>
      </w:r>
      <w:r xmlns:wp="http://schemas.openxmlformats.org/drawingml/2010/wordprocessingDrawing" xmlns:w15="http://schemas.microsoft.com/office/word/2012/wordml">
        <w:rPr>
          <w:rFonts w:ascii="Arial" w:hAnsi="Arial" w:cs="Arial"/>
          <w:sz w:val="22"/>
          <w:szCs w:val="22"/>
        </w:rPr>
        <w:t xml:space="preserve">[PL 2023,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§1802-A. Employed counsel and public defender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§1802-A. Employed counsel and public defender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§1802-A. EMPLOYED COUNSEL AND PUBLIC DEFENDER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