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1927</w:t>
        <w:t xml:space="preserve">.  </w:t>
      </w:r>
      <w:r>
        <w:rPr>
          <w:b/>
        </w:rPr>
        <w:t xml:space="preserve">Validity of notarial acts</w:t>
      </w:r>
    </w:p>
    <w:p>
      <w:pPr>
        <w:jc w:val="both"/>
        <w:spacing w:before="100" w:after="100"/>
        <w:ind w:start="360"/>
        <w:ind w:firstLine="360"/>
      </w:pPr>
      <w:r>
        <w:rPr/>
      </w:r>
      <w:r>
        <w:rPr/>
      </w:r>
      <w:r>
        <w:t xml:space="preserve">Except as otherwise provided in </w:t>
      </w:r>
      <w:r>
        <w:t>section 1904, subsection 6</w:t>
      </w:r>
      <w:r>
        <w:t xml:space="preserve">, the failure of a notarial officer to perform a duty or meet a requirement specified in this chapter does not invalidate a notarial act performed by the notarial officer.  The validity of a notarial act under this chapter does not prevent an aggrieved person from seeking to invalidate the record or transaction that is the subject of the notarial act or from seeking other remedies based on the laws of this State other than this chapter or the laws of the United States.  This section does not validate a purported notarial act performed by an individual who does not have the authority to perform notarial acts.  This section does not limit the authority of the Secretary of State to reject candidate or initiative or referendum petitions under </w:t>
      </w:r>
      <w:r>
        <w:t>Title 21‑A</w:t>
      </w:r>
      <w:r>
        <w:t xml:space="preserve"> on the basis of improper notarizations.  </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§1927. Validity of notarial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§1927. Validity of notarial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§1927. VALIDITY OF NOTARIAL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