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§301. TERMS; VACANCIES;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