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12013</w:t>
        <w:t xml:space="preserve">.  </w:t>
      </w:r>
      <w:r>
        <w:rPr>
          <w:b/>
        </w:rPr>
        <w:t xml:space="preserve">Finances</w:t>
      </w:r>
    </w:p>
    <w:p>
      <w:pPr>
        <w:jc w:val="both"/>
        <w:spacing w:before="100" w:after="100"/>
        <w:ind w:start="360"/>
        <w:ind w:firstLine="360"/>
      </w:pPr>
      <w:r>
        <w:rPr/>
      </w:r>
      <w:r>
        <w:rPr/>
      </w:r>
      <w:r>
        <w:t xml:space="preserve">All boards shall maintain such financial records as may be required by the State Comptroller and State Auditor.</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§12013.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§12013.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§12013.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