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w:t>
        <w:t xml:space="preserve">.  </w:t>
      </w:r>
      <w:r>
        <w:rPr>
          <w:b/>
        </w:rPr>
        <w:t xml:space="preserve">Findings</w:t>
      </w:r>
    </w:p>
    <w:p>
      <w:pPr>
        <w:jc w:val="both"/>
        <w:spacing w:before="100" w:after="100"/>
        <w:ind w:start="360"/>
        <w:ind w:firstLine="360"/>
      </w:pPr>
      <w:r>
        <w:rPr/>
      </w:r>
      <w:r>
        <w:rPr/>
      </w:r>
      <w:r>
        <w:t xml:space="preserve">The Legislature finds that the strength of the State's economy is based on the strength of the local economies of municipalities and their ability to adjust to the dramatic changes in the national and international economies. The Legislature also recognizes the need for the coordination of state, regional and local efforts and resources to produce solid economic growth and development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Economic growth and development is not limited exclusively to the generation of new businesses and business expansions. It requires sufficient housing and infrastructure facilities, planning and availability of an educated and well-trained labor force which are necessary to the prosperity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It is necessary to coordinate the development and delivery of community programs. By coordinating and focusing various community development programs, the impact of these programs can be far more effective. The existence of a central community development agency can improve and facilitate communication and assistance between the State and its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By working together, coordinating resources and developing policies which are mutually consistent and consistent with an overall state strategy, the State and its municipalities can realize their potential and prosperity in the future.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