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13120-K</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President of the Senate, the Speaker of the House of Representatives and the joint standing committee of the Legislature having jurisdiction over economic development matters,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the authority's operations, including a description of projects assisted under this subchapter and the criteria used in selecting those projects;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schedule of the bonds and notes outstanding at the end of the authority's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statement of the authority's proposed and projected activities for the ensuing year, the relationship of these activities to the State's economic development policies and the selection criteria expected to be used;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Recommendations as to further actions that may be suitable for achieving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statement of the defaults, if any, of persons, firms, corporations and other organizations receiving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summary of the actual and potential employment opportunities resulting from the authority's activities.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shall also provide the Treasurer of State with an accounting of the authority's assets and liabilities at the end of its fiscal year.  The authority is also subject to the provisions of </w:t>
      </w:r>
      <w:r>
        <w:t>chapter 11</w:t>
      </w:r>
      <w:r>
        <w:t xml:space="preserve">.  The authority may combine for accounting purposes any or all funds established for its programs and activities.  For any complete fiscal year that the authority contracts with the Finance Authority of Maine, or any other state agency or quasi-state agency that is required to submit to the Treasurer of State its own audited financial report, and the audited annual financial report of that state agency or quasi-state agency includes for accounting purposes the funds administered for the authority, the audited financial report of that state agency or quasi-state agency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2013, c. 465,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§13120-K.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§13120-K.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§13120-K.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