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13213</w:t>
        <w:t xml:space="preserve">.  </w:t>
      </w:r>
      <w:r>
        <w:rPr>
          <w:b/>
        </w:rPr>
        <w:t xml:space="preserve">Exemption from property tax</w:t>
      </w:r>
    </w:p>
    <w:p>
      <w:pPr>
        <w:jc w:val="both"/>
        <w:spacing w:before="100" w:after="100"/>
        <w:ind w:start="360"/>
        <w:ind w:firstLine="360"/>
      </w:pPr>
      <w:r>
        <w:rPr/>
      </w:r>
      <w:r>
        <w:rPr/>
      </w:r>
      <w:r>
        <w:t xml:space="preserve">In addition to any other basis for exemption from taxation, the corporation is exempt from property taxation imposed pursuant to </w:t>
      </w:r>
      <w:r>
        <w:t>Title 36, Part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258,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§13213. Exemption from property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§13213. Exemption from property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§13213. EXEMPTION FROM PROPERTY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