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w:t>
        <w:t xml:space="preserve">.  </w:t>
      </w:r>
      <w:r>
        <w:rPr>
          <w:b/>
        </w:rPr>
        <w:t xml:space="preserve">Government Shutdown Loan Guarantee Program Fund established</w:t>
      </w:r>
    </w:p>
    <w:p>
      <w:pPr>
        <w:jc w:val="both"/>
        <w:spacing w:before="100" w:after="100"/>
        <w:ind w:start="360"/>
        <w:ind w:firstLine="360"/>
      </w:pPr>
      <w:r>
        <w:rPr/>
      </w:r>
      <w:r>
        <w:rPr/>
      </w:r>
      <w:r>
        <w:t xml:space="preserve">The Government Shutdown Loan Guarantee Program Fund is established as a nonlapsing Other Special Revenue Funds account within the Office of the Treasurer of State.  All money received by the fund from any source, including any transfers from the General Fund unappropriated surplus, must be credited to the fund. Money credited to the fund must be used to guarantee the repayment of loans made by an eligible financial institution to an eligible affected employee pursuant to </w:t>
      </w:r>
      <w:r>
        <w:t>Title 10, chapter 110, subchapter 15</w:t>
      </w:r>
      <w:r>
        <w:t xml:space="preserve"> and to reimburse the Finance Authority of Maine for reasonable expenses to administer the Government Shutdown Loan Guarantee Program established in </w:t>
      </w:r>
      <w:r>
        <w:t>Title 10, chapter 110, subchapter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§160. Government Shutdown Loan Guarantee Program Fund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 Government Shutdown Loan Guarantee Program Fund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§160. GOVERNMENT SHUTDOWN LOAN GUARANTEE PROGRAM FUND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