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1667-B</w:t>
        <w:t xml:space="preserve">.  </w:t>
      </w:r>
      <w:r>
        <w:rPr>
          <w:b/>
        </w:rPr>
        <w:t xml:space="preserve">Allotment in excess of legislatively authorized allocations</w:t>
      </w:r>
    </w:p>
    <w:p>
      <w:pPr>
        <w:jc w:val="both"/>
        <w:spacing w:before="100" w:after="100"/>
        <w:ind w:start="360"/>
        <w:ind w:firstLine="360"/>
      </w:pPr>
      <w:r>
        <w:rPr/>
      </w:r>
      <w:r>
        <w:rPr/>
      </w:r>
      <w:r>
        <w:t xml:space="preserve">Allotments in Other Special Revenue funds accounts, internal service fund accounts and enterprise funds, except the State Lottery Fund and the Dirigo Health Enterprise Fund, may exceed current year allocations and the unused balance of allocations authorized to carry forward by law under the following conditions, except that funds in Other Special Revenue funds accounts, internal service fund accounts and enterprise funds must be expended in accordance with the statutes that establish the accounts and for no other purpose:</w:t>
      </w:r>
      <w:r>
        <w:t xml:space="preserve">  </w:t>
      </w:r>
      <w:r xmlns:wp="http://schemas.openxmlformats.org/drawingml/2010/wordprocessingDrawing" xmlns:w15="http://schemas.microsoft.com/office/word/2012/wordml">
        <w:rPr>
          <w:rFonts w:ascii="Arial" w:hAnsi="Arial" w:cs="Arial"/>
          <w:sz w:val="22"/>
          <w:szCs w:val="22"/>
        </w:rPr>
        <w:t xml:space="preserve">[PL 2005, c. 386, Pt. D, §2 (AMD).]</w:t>
      </w:r>
    </w:p>
    <w:p>
      <w:pPr>
        <w:jc w:val="both"/>
        <w:spacing w:before="100" w:after="0"/>
        <w:ind w:start="360"/>
        <w:ind w:firstLine="360"/>
      </w:pPr>
      <w:r>
        <w:rPr>
          <w:b/>
        </w:rPr>
        <w:t>1</w:t>
        <w:t xml:space="preserve">.  </w:t>
      </w:r>
      <w:r>
        <w:rPr>
          <w:b/>
        </w:rPr>
        <w:t xml:space="preserve">Sufficient cash.</w:t>
        <w:t xml:space="preserve"> </w:t>
      </w:r>
      <w:r>
        <w:t xml:space="preserve"> </w:t>
      </w:r>
      <w:r>
        <w:t xml:space="preserve">Sufficient cash is available from the Other Special Revenue funds accounts, the internal service fund accounts or the unencumbered balance authorized to carry forward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2</w:t>
        <w:t xml:space="preserve">.  </w:t>
      </w:r>
      <w:r>
        <w:rPr>
          <w:b/>
        </w:rPr>
        <w:t xml:space="preserve">Recommendation and approval.</w:t>
        <w:t xml:space="preserve"> </w:t>
      </w:r>
      <w:r>
        <w:t xml:space="preserve"> </w:t>
      </w:r>
      <w:r>
        <w:t xml:space="preserve">Allotment of the funds under </w:t>
      </w:r>
      <w:r>
        <w:t>subsection 1</w:t>
      </w:r>
      <w:r>
        <w:t xml:space="preserve"> is recommended by the State Budget Officer and approved by the Governor by financial order as an allotment increase in the annual work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0"/>
        <w:ind w:start="360"/>
        <w:ind w:firstLine="360"/>
      </w:pPr>
      <w:r>
        <w:rPr>
          <w:b/>
        </w:rPr>
        <w:t>3</w:t>
        <w:t xml:space="preserve">.  </w:t>
      </w:r>
      <w:r>
        <w:rPr>
          <w:b/>
        </w:rPr>
        <w:t xml:space="preserve">Legislative review.</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is subject to review by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0"/>
        <w:ind w:start="360"/>
        <w:ind w:firstLine="360"/>
      </w:pPr>
      <w:r>
        <w:rPr>
          <w:b/>
        </w:rPr>
        <w:t>4</w:t>
        <w:t xml:space="preserve">.  </w:t>
      </w:r>
      <w:r>
        <w:rPr>
          <w:b/>
        </w:rPr>
        <w:t xml:space="preserve">30-day wait.</w:t>
        <w:t xml:space="preserve"> </w:t>
      </w:r>
      <w:r>
        <w:t xml:space="preserve"> </w:t>
      </w:r>
      <w:r>
        <w:t xml:space="preserve">Excluding the State - Municipal Revenue Sharing program, Other Special Revenue Funds account, the Disproportionate Tax Burden Fund program, Other Special Revenue Funds account in the Office of the Treasurer of State and accounts when allotting funds to pay death benefits pursuant to </w:t>
      </w:r>
      <w:r>
        <w:t>Title 25, chapter 195‑A</w:t>
      </w:r>
      <w:r>
        <w:t xml:space="preserve">, allotment of the funds under </w:t>
      </w:r>
      <w:r>
        <w:t>subsection 1</w:t>
      </w:r>
      <w:r>
        <w:t xml:space="preserve"> does not take effect until 30 days after the approval by the Governor;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 §1 (AMD).]</w:t>
      </w:r>
    </w:p>
    <w:p>
      <w:pPr>
        <w:jc w:val="both"/>
        <w:spacing w:before="100" w:after="100"/>
        <w:ind w:start="360"/>
        <w:ind w:firstLine="360"/>
      </w:pPr>
      <w:r>
        <w:rPr>
          <w:b/>
        </w:rPr>
        <w:t>5</w:t>
        <w:t xml:space="preserve">.  </w:t>
      </w:r>
      <w:r>
        <w:rPr>
          <w:b/>
        </w:rPr>
        <w:t xml:space="preserve">Collective bargaining; detrimental effect.</w:t>
        <w:t xml:space="preserve"> </w:t>
      </w:r>
      <w:r>
        <w:t xml:space="preserve"> </w:t>
      </w:r>
      <w:r>
        <w:t xml:space="preserve">Either one of the following:</w:t>
      </w:r>
    </w:p>
    <w:p>
      <w:pPr>
        <w:jc w:val="both"/>
        <w:spacing w:before="100" w:after="0"/>
        <w:ind w:start="720"/>
      </w:pPr>
      <w:r>
        <w:rPr/>
        <w:t>A</w:t>
        <w:t xml:space="preserve">.  </w:t>
      </w:r>
      <w:r>
        <w:rPr/>
      </w:r>
      <w:r>
        <w:t xml:space="preserve">Allotment of the funds under </w:t>
      </w:r>
      <w:r>
        <w:t>subsection 1</w:t>
      </w:r>
      <w:r>
        <w:t xml:space="preserve"> is required to provide for the costs of approved collective bargaining agreements; or</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w:pPr>
        <w:jc w:val="both"/>
        <w:spacing w:before="100" w:after="0"/>
        <w:ind w:start="720"/>
      </w:pPr>
      <w:r>
        <w:rPr/>
        <w:t>B</w:t>
        <w:t xml:space="preserve">.  </w:t>
      </w:r>
      <w:r>
        <w:rPr/>
      </w:r>
      <w:r>
        <w:t xml:space="preserve">Failure to allot the funds under </w:t>
      </w:r>
      <w:r>
        <w:t>subsection 1</w:t>
      </w:r>
      <w:r>
        <w:t xml:space="preserve"> could have a significant detrimental impact on current programs.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T, §7 (NEW).]</w:t>
      </w:r>
    </w:p>
    <w:p>
      <w:pPr>
        <w:jc w:val="both"/>
        <w:spacing w:before="100" w:after="100"/>
        <w:ind w:start="360"/>
        <w:ind w:firstLine="360"/>
      </w:pPr>
      <w:r>
        <w:rPr/>
      </w:r>
      <w:r>
        <w:rPr/>
      </w:r>
      <w:r>
        <w:t xml:space="preserve">In case of extraordinary emergency situations, the requirements of </w:t>
      </w:r>
      <w:r>
        <w:t>subsection 4</w:t>
      </w:r>
      <w:r>
        <w:t xml:space="preserve"> may be waived by vote of the joint standing committee of the Legislature having jurisdiction over appropriations and financial affairs.</w:t>
      </w:r>
      <w:r>
        <w:t xml:space="preserve">  </w:t>
      </w:r>
      <w:r xmlns:wp="http://schemas.openxmlformats.org/drawingml/2010/wordprocessingDrawing" xmlns:w15="http://schemas.microsoft.com/office/word/2012/wordml">
        <w:rPr>
          <w:rFonts w:ascii="Arial" w:hAnsi="Arial" w:cs="Arial"/>
          <w:sz w:val="22"/>
          <w:szCs w:val="22"/>
        </w:rPr>
        <w:t xml:space="preserve">[PL 2005, c. 12, Pt. T,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§T7 (NEW). PL 2005, c. 386, §D2 (AMD). PL 2011, c. 655, Pt. K,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§1667-B. Allotment in excess of legislatively authorized allocations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§1667-B. ALLOTMENT IN EXCESS OF LEGISLATIVELY AUTHORIZED ALLOCATIONS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