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the chief executive officer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§98 (COR).]</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section 17001, subsection 13, paragraph C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RR 2023, c. 2, Pt. B,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§17154.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