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1762-A</w:t>
        <w:t xml:space="preserve">.  </w:t>
      </w:r>
      <w:r>
        <w:rPr>
          <w:b/>
        </w:rPr>
        <w:t xml:space="preserve">Water conservation in state facilities</w:t>
      </w:r>
    </w:p>
    <w:p>
      <w:pPr>
        <w:jc w:val="both"/>
        <w:spacing w:before="100" w:after="100"/>
        <w:ind w:start="360"/>
        <w:ind w:firstLine="360"/>
      </w:pPr>
      <w:r>
        <w:rPr/>
      </w:r>
      <w:r>
        <w:rPr/>
      </w:r>
      <w:r>
        <w:t xml:space="preserve">After January 1, 1992, unless otherwise required by law, or for reasons of health or safety, the Bureau of General Services and the following departments and agencies may not purchase or install any faucet, shower head, toilet or urinal that is not a low-flow faucet, a low-flow shower head, a water-saving toilet or a water-saving urinal:</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w:pPr>
        <w:jc w:val="both"/>
        <w:spacing w:before="100" w:after="0"/>
        <w:ind w:start="360"/>
        <w:ind w:firstLine="360"/>
      </w:pPr>
      <w:r>
        <w:rPr>
          <w:b/>
        </w:rPr>
        <w:t>1</w:t>
        <w:t xml:space="preserve">.  </w:t>
      </w:r>
      <w:r>
        <w:rPr>
          <w:b/>
        </w:rPr>
        <w:t xml:space="preserve">Office of Procurement Services.</w:t>
        <w:t xml:space="preserve"> </w:t>
      </w:r>
      <w:r>
        <w:t xml:space="preserve"> </w:t>
      </w:r>
      <w:r>
        <w:t xml:space="preserve">The Office of Procurement Services under </w:t>
      </w:r>
      <w:r>
        <w:t>chapter 155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§6 (AMD).]</w:t>
      </w:r>
    </w:p>
    <w:p>
      <w:pPr>
        <w:jc w:val="both"/>
        <w:spacing w:before="100" w:after="0"/>
        <w:ind w:start="360"/>
        <w:ind w:firstLine="360"/>
      </w:pPr>
      <w:r>
        <w:rPr>
          <w:b/>
        </w:rPr>
        <w:t>2</w:t>
        <w:t xml:space="preserve">.  </w:t>
      </w:r>
      <w:r>
        <w:rPr>
          <w:b/>
        </w:rPr>
        <w:t xml:space="preserve">University of Maine System.</w:t>
        <w:t xml:space="preserve"> </w:t>
      </w:r>
      <w:r>
        <w:t xml:space="preserve"> </w:t>
      </w:r>
      <w:r>
        <w:t xml:space="preserve">The University of Maine System under </w:t>
      </w:r>
      <w:r>
        <w:t>Title 20‑A, chapter 411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0"/>
        <w:ind w:start="360"/>
        <w:ind w:firstLine="360"/>
      </w:pPr>
      <w:r>
        <w:rPr>
          <w:b/>
        </w:rPr>
        <w:t>3</w:t>
        <w:t xml:space="preserve">.  </w:t>
      </w:r>
      <w:r>
        <w:rPr>
          <w:b/>
        </w:rPr>
        <w:t xml:space="preserve">Maine Community College System.</w:t>
        <w:t xml:space="preserve"> </w:t>
      </w:r>
      <w:r>
        <w:t xml:space="preserve"> </w:t>
      </w:r>
      <w:r>
        <w:t xml:space="preserve">The Maine Community College System under </w:t>
      </w:r>
      <w:r>
        <w:t>Title 20‑A, chapter 431</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Pt. OO, §2 (AMD); PL 2003, c. 20, Pt. OO, §4 (AFF).]</w:t>
      </w:r>
    </w:p>
    <w:p>
      <w:pPr>
        <w:jc w:val="both"/>
        <w:spacing w:before="100" w:after="0"/>
        <w:ind w:start="360"/>
        <w:ind w:firstLine="360"/>
      </w:pPr>
      <w:r>
        <w:rPr>
          <w:b/>
        </w:rPr>
        <w:t>4</w:t>
        <w:t xml:space="preserve">.  </w:t>
      </w:r>
      <w:r>
        <w:rPr>
          <w:b/>
        </w:rPr>
        <w:t xml:space="preserve">Maine State Housing Authority.</w:t>
        <w:t xml:space="preserve"> </w:t>
      </w:r>
      <w:r>
        <w:t xml:space="preserve"> </w:t>
      </w:r>
      <w:r>
        <w:t xml:space="preserve">The Maine State Housing Authority under </w:t>
      </w:r>
      <w:r>
        <w:t>Title 30‑A, chapter 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w:t>
      </w:r>
    </w:p>
    <w:p>
      <w:pPr>
        <w:jc w:val="both"/>
        <w:spacing w:before="100" w:after="100"/>
        <w:ind w:start="360"/>
        <w:ind w:firstLine="360"/>
      </w:pPr>
      <w:r>
        <w:rPr/>
      </w:r>
      <w:r>
        <w:rPr/>
      </w:r>
      <w:r>
        <w:t xml:space="preserve">By January 1, 1992, the Bureau of General Services shall adopt rules defining a "low-flow faucet," a "low-flow shower head," a "water-saving toilet" and a "water-saving urinal" that minimize water use to the maximum extent economically and technologically feasible.</w:t>
      </w:r>
      <w:r>
        <w:t xml:space="preserve">  </w:t>
      </w:r>
      <w:r xmlns:wp="http://schemas.openxmlformats.org/drawingml/2010/wordprocessingDrawing" xmlns:w15="http://schemas.microsoft.com/office/word/2012/wordml">
        <w:rPr>
          <w:rFonts w:ascii="Arial" w:hAnsi="Arial" w:cs="Arial"/>
          <w:sz w:val="22"/>
          <w:szCs w:val="22"/>
        </w:rPr>
        <w:t xml:space="preserve">[PL 2011, c. 691, Pt. B,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246, §1 (NEW). PL 2003, c. 20, §OO2 (AMD). PL 2003, c. 20, §OO4 (AFF). PL 2011, c. 691, Pt. B, §15 (AMD). PL 2023, c. 516, Pt. B,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§1762-A. Water conservation in state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§1762-A. Water conservation in state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§1762-A. WATER CONSERVATION IN STATE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