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17805</w:t>
        <w:t xml:space="preserve">.  </w:t>
      </w:r>
      <w:r>
        <w:rPr>
          <w:b/>
        </w:rPr>
        <w:t xml:space="preserve">Remarriage after retirement</w:t>
      </w:r>
    </w:p>
    <w:p>
      <w:pPr>
        <w:jc w:val="both"/>
        <w:spacing w:before="100" w:after="100"/>
        <w:ind w:start="360"/>
        <w:ind w:firstLine="360"/>
      </w:pPr>
      <w:r>
        <w:rPr/>
      </w:r>
      <w:r>
        <w:rPr/>
      </w:r>
      <w:r>
        <w:t xml:space="preserve">If the recipient of a reduced service retirement benefit under </w:t>
      </w:r>
      <w:r>
        <w:t>section 17804, subsection 3</w:t>
      </w:r>
      <w:r>
        <w:t xml:space="preserve">, </w:t>
      </w:r>
      <w:r>
        <w:t>4</w:t>
      </w:r>
      <w:r>
        <w:t xml:space="preserve">, </w:t>
      </w:r>
      <w:r>
        <w:t>5‑A</w:t>
      </w:r>
      <w:r>
        <w:t xml:space="preserve"> or </w:t>
      </w:r>
      <w:r>
        <w:t>5‑B</w:t>
      </w:r>
      <w:r>
        <w:t xml:space="preserve"> remarries after the recipient's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§5 (AMD).]</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recipient may elect to have the reduced retirement benefit paid under the same option to the new spouse after the recipient's death instead of continuing the original reduced retirement benefit to the recipient during his lifetime, under the following conditions:</w:t>
      </w:r>
    </w:p>
    <w:p>
      <w:pPr>
        <w:jc w:val="both"/>
        <w:spacing w:before="100" w:after="0"/>
        <w:ind w:start="720"/>
      </w:pPr>
      <w:r>
        <w:rPr/>
        <w:t>A</w:t>
        <w:t xml:space="preserve">.  </w:t>
      </w:r>
      <w:r>
        <w:rPr/>
      </w:r>
      <w:r>
        <w:t xml:space="preserve">The original spouse must have been the sole beneficiary of the reduced retirement benefit under </w:t>
      </w:r>
      <w:r>
        <w:t>section 17804, subsection 3</w:t>
      </w:r>
      <w:r>
        <w:t xml:space="preserve">, </w:t>
      </w:r>
      <w:r>
        <w:t>4</w:t>
      </w:r>
      <w:r>
        <w:t xml:space="preserve">, </w:t>
      </w:r>
      <w:r>
        <w:t>5‑A</w:t>
      </w:r>
      <w:r>
        <w:t xml:space="preserve"> or </w:t>
      </w:r>
      <w:r>
        <w:t>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§10 (AMD); PL 1999, c. 744,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§3 (RP).]</w:t>
      </w:r>
    </w:p>
    <w:p>
      <w:pPr>
        <w:jc w:val="both"/>
        <w:spacing w:before="100" w:after="0"/>
        <w:ind w:start="720"/>
      </w:pPr>
      <w:r>
        <w:rPr/>
        <w:t>D</w:t>
        <w:t xml:space="preserve">.  </w:t>
      </w:r>
      <w:r>
        <w:rPr/>
      </w:r>
      <w:r>
        <w:t xml:space="preserve">The recipient must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612,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§10 (AMD); PL 1999, c. 744, §17 (AFF).]</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death of the original spouse and remarriage to the new spouse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§5 (RP).]</w:t>
      </w:r>
    </w:p>
    <w:p>
      <w:pPr>
        <w:jc w:val="both"/>
        <w:spacing w:before="100" w:after="0"/>
        <w:ind w:start="720"/>
      </w:pPr>
      <w:r>
        <w:rPr/>
        <w:t>C</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1987, c. 612,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§5 (AMD);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benefit the recipient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Effective date of coverage of the new spouse.</w:t>
        <w:t xml:space="preserve"> </w:t>
      </w:r>
      <w:r>
        <w:t xml:space="preserve"> </w:t>
      </w:r>
      <w:r>
        <w:t xml:space="preserve">The effective date of the designation of the new spouse as the recipient's new beneficiary will be the date the request is received or 6 months after the date of remarriage, whichever comes later.  The recipient's retirement benefit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612, §§1-6 (AMD). PL 1999, c. 744, §10 (AMD). PL 1999, c. 744, §17 (AFF). PL 2001, c. 118, §5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§17805. Remarriage after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§17805. Remarriage after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§17805. REMARRIAGE AFTER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