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Requisitions required</w:t>
      </w:r>
    </w:p>
    <w:p>
      <w:pPr>
        <w:jc w:val="both"/>
        <w:spacing w:before="100" w:after="100"/>
        <w:ind w:start="360"/>
        <w:ind w:firstLine="360"/>
      </w:pPr>
      <w:r>
        <w:rPr/>
      </w:r>
      <w:r>
        <w:rPr/>
      </w:r>
      <w:r>
        <w:t xml:space="preserve">Except as otherwise provided in </w:t>
      </w:r>
      <w:r>
        <w:t>chapters 141</w:t>
      </w:r>
      <w:r>
        <w:t xml:space="preserve"> to </w:t>
      </w:r>
      <w:r>
        <w:t>154</w:t>
      </w:r>
      <w:r>
        <w:t xml:space="preserve"> and this chapter and the rules and regulations adopted under those chapters and this chapter, services, supplies, materials and equipment may be purchased by or furnished to the State or any department or agency thereof only upon requisition to the Chief Procurement Officer. The Chief Procurement Officer, or the officer's authorized representative, shall examine each requisition submitted to the officer by any department or agency of the State and may revise it as to quantity, quality or estimated cost after consultation with the department or agency concerned.</w:t>
      </w:r>
      <w:r>
        <w:t xml:space="preserve">  </w:t>
      </w:r>
      <w:r xmlns:wp="http://schemas.openxmlformats.org/drawingml/2010/wordprocessingDrawing" xmlns:w15="http://schemas.microsoft.com/office/word/2012/wordml">
        <w:rPr>
          <w:rFonts w:ascii="Arial" w:hAnsi="Arial" w:cs="Arial"/>
          <w:sz w:val="22"/>
          <w:szCs w:val="22"/>
        </w:rPr>
        <w:t xml:space="preserve">[PL 2023, c. 516,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Requisitions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Requisitions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§1815. REQUISITIONS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