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1825-C</w:t>
        <w:t xml:space="preserve">.  </w:t>
      </w:r>
      <w:r>
        <w:rPr>
          <w:b/>
        </w:rPr>
        <w:t xml:space="preserve">Rulemaking</w:t>
      </w:r>
    </w:p>
    <w:p>
      <w:pPr>
        <w:jc w:val="both"/>
        <w:spacing w:before="100" w:after="100"/>
        <w:ind w:start="360"/>
        <w:ind w:firstLine="360"/>
      </w:pPr>
      <w:r>
        <w:rPr/>
      </w:r>
      <w:r>
        <w:rPr/>
      </w:r>
      <w:r>
        <w:t xml:space="preserve">The Chief Procurement Officer shall adopt rules under this subchapter governing the purchase of services, the awarding of grants or contracts and the procedure by which aggrieved persons may appeal award decisions made by a department or agency of State Government.  These rules must be adopted in accordance with the Maine Administrative Procedure Act and apply to all departments and agencies of State Government subject to the authority of the Department of Administrative and Financial Services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516,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2007, c. 466, Pt. A, §12 (AMD). PL 2015, c. 179, §3 (AMD). PL 2023, c. 516,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§1825-C.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§1825-C.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§1825-C.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