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18258</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§4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§11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§11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§§A72,A73 (AMD). PL 1987, c. 739, §§32,48 (AMD). PL 1991, c. 479, §4 (AMD). PL 2001, c. 181, §11 (AMD). PL 2001, c. 662,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§18258. Service in the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§18258. Service in the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§18258. SERVICE IN THE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