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18305-B</w:t>
        <w:t xml:space="preserve">.  </w:t>
      </w:r>
      <w:r>
        <w:rPr>
          <w:b/>
        </w:rPr>
        <w:t xml:space="preserve">Continued eligibility to purchase service credit</w:t>
      </w:r>
    </w:p>
    <w:p>
      <w:pPr>
        <w:jc w:val="both"/>
        <w:spacing w:before="100" w:after="100"/>
        <w:ind w:start="360"/>
        <w:ind w:firstLine="360"/>
      </w:pPr>
      <w:r>
        <w:rPr/>
      </w:r>
      <w:r>
        <w:rPr/>
      </w:r>
      <w:r>
        <w:t xml:space="preserve">A member whose membership date is prior to August 1, 2010, and who was eligible to purchase service credit under former section 18305 or 18305-A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§18305-B. Continued eligibility to purchase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§18305-B. Continued eligibility to purchase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§18305-B. CONTINUED ELIGIBILITY TO PURCHASE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