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18351</w:t>
        <w:t xml:space="preserve">.  </w:t>
      </w:r>
      <w:r>
        <w:rPr>
          <w:b/>
        </w:rPr>
        <w:t xml:space="preserve">Determination of one year's service credit</w:t>
      </w:r>
    </w:p>
    <w:p>
      <w:pPr>
        <w:jc w:val="both"/>
        <w:spacing w:before="100" w:after="100"/>
        <w:ind w:start="360"/>
        <w:ind w:firstLine="360"/>
      </w:pPr>
      <w:r>
        <w:rPr/>
      </w:r>
      <w:r>
        <w:rPr/>
      </w:r>
      <w:r>
        <w:t xml:space="preserve">The determination of one 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 occurring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shall be equivalent to one year's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§18351. Determination of one year's service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§18351. Determination of one year's service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§18351. DETERMINATION OF ONE YEAR'S SERVICE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