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§145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RR 2023, c. 2,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