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cumulatively increased by the same percentage adjustments granted under </w:t>
      </w:r>
      <w:r>
        <w:t>section 18407</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§3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§14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1993, c. 680, Pt. A, §17 (AMD).]</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18407</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§2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§151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§18 (AMD).]</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§14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§151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 the recipient's average final compensation at retirement, increased by the same percentage adjustments as have been received under </w:t>
      </w:r>
      <w:r>
        <w:t>section 18407</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§2 (AMD). PL 1989, c. 78, §8 (AMD). PL 1991, c. 885, §§E13,14 (AMD). PL 1991, c. 885, §E47 (AFF). PL 1993, c. 680, §§A17,18 (AMD). PL 2001, c. 443, §3 (AMD). PL 2001, c. 443, §7 (AFF). PL 2007, c. 491, §245 (AMD). PL 2013, c. 391, §§14, 15 (AMD). RR 2023, c. 2, Pt. B, §151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§18506.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§18506.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§18506.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