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w:pPr>
        <w:jc w:val="both"/>
        <w:spacing w:before="100" w:after="0"/>
        <w:ind w:start="720"/>
      </w:pPr>
      <w:r>
        <w:rPr/>
        <w:t>B</w:t>
        <w:t xml:space="preserve">.  </w:t>
      </w:r>
      <w:r>
        <w:rPr/>
      </w:r>
      <w:r>
        <w:t xml:space="preserve">The application was made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§40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A disability retirement benefit ceases and eligibility for a service retirement benefit begins on the last day of the month in which the service retirement benefit of the beneficiary equals or exceeds the amount of the member's disability retirement benefit. For a member who by election or by having retired on disability retirement prior to October 16, 1992, remains covered under this section as written prior to its amendment by Public Law 1991, chapter 887, section 14,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§12 (AMD).]</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18503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§3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 full month's benefit must be paid to the beneficiary or estate of the disability retirement recipient for the month in which the disability retirement recipient dies.</w:t>
      </w:r>
      <w:r>
        <w:t xml:space="preserve">  </w:t>
      </w:r>
      <w:r xmlns:wp="http://schemas.openxmlformats.org/drawingml/2010/wordprocessingDrawing" xmlns:w15="http://schemas.microsoft.com/office/word/2012/wordml">
        <w:rPr>
          <w:rFonts w:ascii="Arial" w:hAnsi="Arial" w:cs="Arial"/>
          <w:sz w:val="22"/>
          <w:szCs w:val="22"/>
        </w:rPr>
        <w:t xml:space="preserve">[RR 2023, c. 2, Pt. B, §152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§§40-42 (AMD). PL 1991, c. 887, §14 (AMD). PL 1997, c. 384, §12 (AMD). PL 2003, c. 675, §3 (AMD). PL 2021, c. 548, §45 (REV). RR 2023, c. 2, Pt. B, §152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§18507.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§18507.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§18507.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