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§18511. Presumption of disability for active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§18511. PRESUMPTION OF DISABILITY FOR ACTIVE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