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Tenure of office; citizenship</w:t>
      </w:r>
    </w:p>
    <w:p>
      <w:pPr>
        <w:jc w:val="both"/>
        <w:spacing w:before="100" w:after="100"/>
        <w:ind w:start="360"/>
        <w:ind w:firstLine="360"/>
      </w:pPr>
      <w:r>
        <w:rPr/>
      </w:r>
      <w:r>
        <w:rPr/>
      </w:r>
      <w:r>
        <w:t xml:space="preserve">All civil officers, appointed in accordance with law, whose tenure of office is not fixed by law or limited by the Constitution of Maine, otherwise than during the pleasure of the Governor, except persons appointed to qualify civil officers, shall hold their respective offices for 4 years and no longer, unless reappointed, and shall be subject to removal at any time within that term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1981, c. 456, Pt. A, §13 (AMD).]</w:t>
      </w:r>
    </w:p>
    <w:p>
      <w:pPr>
        <w:jc w:val="both"/>
        <w:spacing w:before="100" w:after="100"/>
        <w:ind w:start="360"/>
        <w:ind w:firstLine="360"/>
      </w:pPr>
      <w:r>
        <w:rPr/>
      </w:r>
      <w:r>
        <w:rPr/>
      </w:r>
      <w:r>
        <w:t xml:space="preserve">All such officers so appointed shall be citizens of the United States of America.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§24 (AMD). PL 1981, c. 456, §A13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Tenure of office; citizenship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Tenure of office; citizenship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 TENURE OF OFFICE; CITIZENSHIP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