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200-J</w:t>
        <w:t xml:space="preserve">.  </w:t>
      </w:r>
      <w:r>
        <w:rPr>
          <w:b/>
        </w:rPr>
        <w:t xml:space="preserve">Cold case homicide unit</w:t>
      </w:r>
    </w:p>
    <w:p>
      <w:pPr>
        <w:jc w:val="both"/>
        <w:spacing w:before="100" w:after="100"/>
        <w:ind w:start="360"/>
        <w:ind w:firstLine="360"/>
      </w:pPr>
      <w:r>
        <w:rPr/>
      </w:r>
      <w:r>
        <w:rPr/>
      </w:r>
      <w:r>
        <w:t xml:space="preserve">The Attorney General in collaboration with the Commissioner of Public Safety shall establish a cold case homicide unit within the Department of the Attorney General to work exclusively on unsolved murders in the State.  The unit must consist of personnel from the Department of the Attorney General and the Department of Public Safety, Bureau of State Police and must include at a minimum one attorney from the Department of the Attorney General, 2 detectives from the Bureau of State Police and one employee of the bureau's crime laboratory.  The Attorney General shall adopt rules for the operation of the unit.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585, §1 (NEW); PL 2013, c. 585, §4 (AFF); PL 2015, c. 267,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585, §1 (NEW). PL 2013, c. 585, §4 (AFF). PL 2015, c. 267,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§200-J. Cold case homicide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§200-J. Cold case homicide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§200-J. COLD CASE HOMICIDE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