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Capitol Area</w:t>
      </w:r>
    </w:p>
    <w:p>
      <w:pPr>
        <w:jc w:val="both"/>
        <w:spacing w:before="100" w:after="100"/>
        <w:ind w:start="360"/>
        <w:ind w:firstLine="360"/>
      </w:pPr>
      <w:r>
        <w:rPr/>
      </w:r>
      <w:r>
        <w:rPr/>
      </w:r>
      <w:r>
        <w:t xml:space="preserve">The area established and described under </w:t>
      </w:r>
      <w:r>
        <w:t>Title 1, section 814</w:t>
      </w:r>
      <w:r>
        <w:t xml:space="preserve"> for acquisition and use by the State is designated as the Capitol Area. The master plan shall be a guide for future state policy in the expansion of the State's physical plant and in the locating of state buildings and other public improvements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1967,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Capitol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Capitol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§303. CAPITOL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