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3223</w:t>
        <w:t xml:space="preserve">.  </w:t>
      </w:r>
      <w:r>
        <w:rPr>
          <w:b/>
        </w:rPr>
        <w:t xml:space="preserve">Floodplain management</w:t>
      </w:r>
    </w:p>
    <w:p>
      <w:pPr>
        <w:jc w:val="both"/>
        <w:spacing w:before="100" w:after="100"/>
        <w:ind w:start="360"/>
        <w:ind w:firstLine="360"/>
      </w:pPr>
      <w:r>
        <w:rPr/>
      </w:r>
      <w:r>
        <w:rPr/>
      </w:r>
      <w:r>
        <w:t xml:space="preserve">The floodplain management program is established within the office. The office shall serve as the state coordinating agency for the National Flood Insurance Program pursuant to 44 Code of Federal Regulations, Part 60 and in that capacity shall oversee delivery of technical assistance and resources to municipalities for the purpose of floodplain management activities and shall administer the State Floodplain Mapping Fund under </w:t>
      </w:r>
      <w:r>
        <w:t>section 3224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D,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§3223. Floodplain management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§3223. Floodplain management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§3223. FLOODPLAIN MANAGEMENT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