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3360-J</w:t>
        <w:t xml:space="preserve">.  </w:t>
      </w:r>
      <w:r>
        <w:rPr>
          <w:b/>
        </w:rPr>
        <w:t xml:space="preserve">Use of funds</w:t>
      </w:r>
    </w:p>
    <w:p>
      <w:pPr>
        <w:jc w:val="both"/>
        <w:spacing w:before="100" w:after="0"/>
        <w:ind w:start="360"/>
        <w:ind w:firstLine="360"/>
      </w:pPr>
      <w:r>
        <w:rPr>
          <w:b/>
        </w:rPr>
        <w:t>1</w:t>
        <w:t xml:space="preserve">.  </w:t>
      </w:r>
      <w:r>
        <w:rPr>
          <w:b/>
        </w:rPr>
        <w:t xml:space="preserve">Administrative expenses.</w:t>
        <w:t xml:space="preserve"> </w:t>
      </w:r>
      <w:r>
        <w:t xml:space="preserve"> </w:t>
      </w:r>
      <w:r>
        <w:t xml:space="preserve">Administrative expenses of the board may be paid from the Victims' Compensation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378, §12 (AMD).]</w:t>
      </w:r>
    </w:p>
    <w:p>
      <w:pPr>
        <w:jc w:val="both"/>
        <w:spacing w:before="100" w:after="0"/>
        <w:ind w:start="360"/>
        <w:ind w:firstLine="360"/>
      </w:pPr>
      <w:r>
        <w:rPr>
          <w:b/>
        </w:rPr>
        <w:t>2</w:t>
        <w:t xml:space="preserve">.  </w:t>
      </w:r>
      <w:r>
        <w:rPr>
          <w:b/>
        </w:rPr>
        <w:t xml:space="preserve">Judicial administrative expenses.</w:t>
        <w:t xml:space="preserve"> </w:t>
      </w:r>
      <w:r>
        <w:t xml:space="preserve"> </w:t>
      </w:r>
      <w:r>
        <w:t xml:space="preserve">Up to $10,000 may be used the first year to defray the programming costs to integrate the Victims' Compensation Fund into the Judicial Department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§3360-J.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§3360-J.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