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Members</w:t>
      </w:r>
    </w:p>
    <w:p>
      <w:pPr>
        <w:jc w:val="both"/>
        <w:spacing w:before="100" w:after="100"/>
        <w:ind w:start="360"/>
        <w:ind w:firstLine="360"/>
      </w:pPr>
      <w:r>
        <w:rPr/>
      </w:r>
      <w:r>
        <w:rPr/>
      </w:r>
      <w:r>
        <w:t xml:space="preserve">The Maine Human Rights Commission, established by </w:t>
      </w:r>
      <w:r>
        <w:t>section 12004‑G, subsection 15</w:t>
      </w:r>
      <w:r>
        <w:t xml:space="preserve">, shall be an independent commission of no more than 5 members.  No more than 3 of the members may be of the same political party.  The members shall be appointed by the Governor, subject to review by the joint standing committee of the Legislature having jurisdiction over judiciary matters and confirmation by the Legislature.  The Governor shall designate one member to be the chair.</w:t>
      </w:r>
      <w:r>
        <w:t xml:space="preserve">  </w:t>
      </w:r>
      <w:r xmlns:wp="http://schemas.openxmlformats.org/drawingml/2010/wordprocessingDrawing" xmlns:w15="http://schemas.microsoft.com/office/word/2012/wordml">
        <w:rPr>
          <w:rFonts w:ascii="Arial" w:hAnsi="Arial" w:cs="Arial"/>
          <w:sz w:val="22"/>
          <w:szCs w:val="22"/>
        </w:rPr>
        <w:t xml:space="preserve">[PL 1989, c. 503,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§88 (AMD). PL 1983, c. 812, §32 (RPR). PL 1987, c. 709, §1 (AMD). PL 1989, c. 503,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§4561.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§4561.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