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4596</w:t>
        <w:t xml:space="preserve">.  </w:t>
      </w:r>
      <w:r>
        <w:rPr>
          <w:b/>
        </w:rPr>
        <w:t xml:space="preserve">Unlawful credit extension discrimination</w:t>
      </w:r>
    </w:p>
    <w:p>
      <w:pPr>
        <w:jc w:val="both"/>
        <w:spacing w:before="100" w:after="100"/>
        <w:ind w:start="360"/>
        <w:ind w:firstLine="360"/>
      </w:pPr>
      <w:r>
        <w:rPr/>
      </w:r>
      <w:r>
        <w:rPr/>
      </w:r>
      <w:r>
        <w:t xml:space="preserve">It is unlawful credit discrimination for any creditor to refuse the extension of credit to any person solely on the basis of any one or more of the following factors: age, race, color, sex, sexual orientation or gender identity, marital status, ancestry, religion or national origin in any credit transaction. It is not unlawful credit discrimination to comply with the terms and conditions of any bona fide group credit life, accident and health insurance plan, for a financial institution extending credit to a married person to require both spouses to sign a note and a mortgage and to deny credit to persons under 18 years of age or to consider a person's age in determining the terms upon which credit will be extended.</w:t>
      </w:r>
      <w:r>
        <w:t xml:space="preserve">  </w:t>
      </w:r>
      <w:r xmlns:wp="http://schemas.openxmlformats.org/drawingml/2010/wordprocessingDrawing" xmlns:w15="http://schemas.microsoft.com/office/word/2012/wordml">
        <w:rPr>
          <w:rFonts w:ascii="Arial" w:hAnsi="Arial" w:cs="Arial"/>
          <w:sz w:val="22"/>
          <w:szCs w:val="22"/>
        </w:rPr>
        <w:t xml:space="preserve">[RR 2023,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1973, c. 788, §26 (AMD). PL 1975, c. 355, §16 (AMD). PL 1975, c. 370, §2 (AMD). PL 1975, c. 770, §41 (AMD). PL 2005, c. 10, §19 (AMD). PL 2021, c. 366, §17 (AMD). RR 2023, c. 2,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§4596. Unlawful credit extension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§4596. Unlawful credit extension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§4596. UNLAWFUL CREDIT EXTENSION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