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§5301. ELIGIBILITY FOR OCCUPATIONAL LICENSE, REGISTRATION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