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6210</w:t>
        <w:t xml:space="preserve">.  </w:t>
      </w:r>
      <w:r>
        <w:rPr>
          <w:b/>
        </w:rPr>
        <w:t xml:space="preserve">Data sharing</w:t>
      </w:r>
    </w:p>
    <w:p>
      <w:pPr>
        <w:jc w:val="both"/>
        <w:spacing w:before="100" w:after="100"/>
        <w:ind w:start="360"/>
        <w:ind w:firstLine="360"/>
      </w:pPr>
      <w:r>
        <w:rPr/>
      </w:r>
      <w:r>
        <w:rPr/>
      </w:r>
      <w:r>
        <w:t xml:space="preserve">If the board transfers in writing to any local or federal agency any written information acquired by the board under this chapter concerning any land, the board shall, upon transfer, notify the landowner of the transfer by certified mail.</w:t>
      </w:r>
      <w:r>
        <w:t xml:space="preserve">  </w:t>
      </w:r>
      <w:r xmlns:wp="http://schemas.openxmlformats.org/drawingml/2010/wordprocessingDrawing" xmlns:w15="http://schemas.microsoft.com/office/word/2012/wordml">
        <w:rPr>
          <w:rFonts w:ascii="Arial" w:hAnsi="Arial" w:cs="Arial"/>
          <w:sz w:val="22"/>
          <w:szCs w:val="22"/>
        </w:rPr>
        <w:t xml:space="preserve">[PL 1989, c. 485,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§6210. Data sharing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§6210. Data sharing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§6210. DATA SHARING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