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Land for Maine's Future Board-sponsored credit card</w:t>
      </w:r>
    </w:p>
    <w:p>
      <w:pPr>
        <w:jc w:val="both"/>
        <w:spacing w:before="100" w:after="0"/>
        <w:ind w:start="360"/>
        <w:ind w:firstLine="360"/>
      </w:pPr>
      <w:r>
        <w:rPr>
          <w:b/>
        </w:rPr>
        <w:t>1</w:t>
        <w:t xml:space="preserve">.  </w:t>
      </w:r>
      <w:r>
        <w:rPr>
          <w:b/>
        </w:rPr>
        <w:t xml:space="preserve">Land for Maine's Future Board-sponsored credit card.</w:t>
        <w:t xml:space="preserve"> </w:t>
      </w:r>
      <w:r>
        <w:t xml:space="preserve"> </w:t>
      </w:r>
      <w:r>
        <w:t xml:space="preserve">The Land for Maine's Future Board may enter into an agreement with a financial institution, as defined in </w:t>
      </w:r>
      <w:r>
        <w:t>Title 9‑B, section 131, subsection 17</w:t>
      </w:r>
      <w:r>
        <w:t xml:space="preserve">, a credit union, as defined in </w:t>
      </w:r>
      <w:r>
        <w:t>Title 9‑B, section 131, subsection 12</w:t>
      </w:r>
      <w:r>
        <w:t xml:space="preserve">, or other credit card issuer to issue a credit card for the benefit of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516, §1 (AMD).]</w:t>
      </w:r>
    </w:p>
    <w:p>
      <w:pPr>
        <w:jc w:val="both"/>
        <w:spacing w:before="100" w:after="100"/>
        <w:ind w:start="360"/>
        <w:ind w:firstLine="360"/>
      </w:pPr>
      <w:r>
        <w:rPr>
          <w:b/>
        </w:rPr>
        <w:t>2</w:t>
        <w:t xml:space="preserve">.  </w:t>
      </w:r>
      <w:r>
        <w:rPr>
          <w:b/>
        </w:rPr>
        <w:t xml:space="preserve">Agreement.</w:t>
        <w:t xml:space="preserve"> </w:t>
      </w:r>
      <w:r>
        <w:t xml:space="preserve"> </w:t>
      </w:r>
      <w:r>
        <w:t xml:space="preserve">If the Land for Maine's Future Board enters into an agreement with a financial institution, credit union or other credit card issuer in accordance with </w:t>
      </w:r>
      <w:r>
        <w:t>subsection 1</w:t>
      </w:r>
      <w:r>
        <w:t xml:space="preserve">, the Land for Maine's Future Board shall negotiate the most favorable agreement for the Land for Maine's Future Board, considering such factors as:</w:t>
      </w:r>
    </w:p>
    <w:p>
      <w:pPr>
        <w:jc w:val="both"/>
        <w:spacing w:before="100" w:after="0"/>
        <w:ind w:start="720"/>
      </w:pPr>
      <w:r>
        <w:rPr/>
        <w:t>A</w:t>
        <w:t xml:space="preserve">.  </w:t>
      </w:r>
      <w:r>
        <w:rPr/>
      </w:r>
      <w:r>
        <w:t xml:space="preserve">The rate for the Land for Maine's Future Board's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1995, c. 358, §1 (NEW).]</w:t>
      </w:r>
    </w:p>
    <w:p>
      <w:pPr>
        <w:jc w:val="both"/>
        <w:spacing w:before="100" w:after="0"/>
        <w:ind w:start="720"/>
      </w:pPr>
      <w:r>
        <w:rPr/>
        <w:t>B</w:t>
        <w:t xml:space="preserve">.  </w:t>
      </w:r>
      <w:r>
        <w:rPr/>
      </w:r>
      <w:r>
        <w:t xml:space="preserve">The ability of the financial institution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1995, c. 516, §1 (AMD).]</w:t>
      </w:r>
    </w:p>
    <w:p>
      <w:pPr>
        <w:jc w:val="both"/>
        <w:spacing w:before="100" w:after="0"/>
        <w:ind w:start="720"/>
      </w:pPr>
      <w:r>
        <w:rPr/>
        <w:t>C</w:t>
        <w:t xml:space="preserve">.  </w:t>
      </w:r>
      <w:r>
        <w:rPr/>
      </w:r>
      <w:r>
        <w:t xml:space="preserve">Customer service offered by the financial institution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1995, c. 516,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516, §1 (AMD).]</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Land for Maine's Future Board under the agreement with the financial institution, credit union or other credit card issuer must be deposited in a separate, interest-bearing account within the Land for Maine's Future Trust Fund.  The account must be held separate and apart from all other money, funds and accounts.  Eligible investment earnings credited to the assets of the account become part of the assets of the account.  Any balance remaining in the account at the end of any fiscal year must be carried forward to the next fiscal year.  Notwithstanding </w:t>
      </w:r>
      <w:r>
        <w:t>section 6203‑D, subsection 2</w:t>
      </w:r>
      <w:r>
        <w:t xml:space="preserve">, the board may expend funds deposited in the account pursuant to this section to cover administrative costs and for staff support and consulting services, as determined necessary by the board to carry out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358, §1 (NEW). PL 1995, c. 516, §1 (AMD). PL 1999, c. 731, §H1 (AMD). PL 2023, c. 284,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§6211. Land for Maine's Future Board-sponsored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Land for Maine's Future Board-sponsored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§6211. LAND FOR MAINE'S FUTURE BOARD-SPONSORED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