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AGRICULTURAL FAIRS AND PULLING EVENTS</w:t>
      </w:r>
    </w:p>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as a separate unit within the Harness Racing Commission program to be known as "the Agricultural Fair Promotion Fund" and shall credit to it all money received under </w:t>
      </w:r>
      <w:r>
        <w:t>Title 8, section 1218, subsection 1, paragraph E</w:t>
      </w:r>
      <w:r>
        <w:t xml:space="preserve">. The fund is a dedicated, nonlapsing fund within the Department of Agriculture, Conservation and Forestry.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L, §1 (AMD).]</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PL 2023, c. 643,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AGRICULTURAL FAIRS AND PULLING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AGRICULTURAL FAIRS AND PULLING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 AGRICULTURAL FAIRS AND PULLING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