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1027</w:t>
        <w:t xml:space="preserve">.  </w:t>
      </w:r>
      <w:r>
        <w:rPr>
          <w:b/>
        </w:rPr>
        <w:t xml:space="preserve">Jurisdiction and disposal of forfeitures</w:t>
      </w:r>
    </w:p>
    <w:p>
      <w:pPr>
        <w:jc w:val="both"/>
        <w:spacing w:before="100" w:after="100"/>
        <w:ind w:start="360"/>
        <w:ind w:firstLine="360"/>
      </w:pPr>
      <w:r>
        <w:rPr/>
      </w:r>
      <w:r>
        <w:rPr/>
      </w:r>
      <w:r>
        <w:t xml:space="preserve">The District Court and the Superior Court shall have concurrent jurisdiction of actions brought for violation of this Article or the rules and regulations promulgated thereunder. All penalties received under this Article by county treasurers shall be paid by them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1977, c. 696, §85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§1027. Jurisdiction and disposal of forfeitures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§1027. Jurisdiction and disposal of forfeitures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§1027. JURISDICTION AND DISPOSAL OF FORFEITURES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